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6D57DF" w:rsidRPr="006D57DF">
        <w:rPr>
          <w:color w:val="000000"/>
          <w:szCs w:val="22"/>
          <w:lang w:eastAsia="en-US"/>
        </w:rPr>
        <w:t>Управление образования администрации Ленинского городского округа Московской области</w:t>
      </w:r>
      <w:r w:rsidR="000C0578">
        <w:rPr>
          <w:color w:val="000000"/>
          <w:szCs w:val="22"/>
          <w:lang w:eastAsia="en-US"/>
        </w:rPr>
        <w:t xml:space="preserve"> (</w:t>
      </w:r>
      <w:r w:rsidR="006D57DF" w:rsidRPr="006D57DF">
        <w:rPr>
          <w:rFonts w:eastAsia="Calibri"/>
          <w:bCs/>
          <w:lang w:eastAsia="en-US"/>
        </w:rPr>
        <w:t>далее – Заказчик, субъект контроля, Управление образования</w:t>
      </w:r>
      <w:r w:rsidR="000C0578">
        <w:rPr>
          <w:bCs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5323FF" w:rsidRPr="0065102C">
        <w:rPr>
          <w:b w:val="0"/>
        </w:rPr>
        <w:t xml:space="preserve">соблюдение </w:t>
      </w:r>
      <w:r w:rsidR="005323FF" w:rsidRPr="003B2BB4">
        <w:rPr>
          <w:b w:val="0"/>
        </w:rPr>
        <w:t>Управлением образования администрации Ленинского городского округа Московской области</w:t>
      </w:r>
      <w:r w:rsidR="005323FF" w:rsidRPr="0065102C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5323FF" w:rsidRPr="005323FF">
        <w:rPr>
          <w:bCs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Управлением образования администрации Ленинского городского округа Московской области.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7D4993">
        <w:rPr>
          <w:color w:val="000000"/>
          <w:szCs w:val="22"/>
          <w:lang w:eastAsia="en-US"/>
        </w:rPr>
        <w:t>.</w:t>
      </w:r>
    </w:p>
    <w:p w:rsidR="007D4993" w:rsidRDefault="007D4993" w:rsidP="007D4993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7D4993">
        <w:rPr>
          <w:color w:val="000000"/>
          <w:szCs w:val="22"/>
          <w:lang w:eastAsia="en-US"/>
        </w:rPr>
        <w:t xml:space="preserve">: </w:t>
      </w:r>
      <w:r w:rsidR="006C1096" w:rsidRPr="006C1096">
        <w:rPr>
          <w:bCs/>
        </w:rPr>
        <w:t>с 16.03.2022 по 29.03.2022</w:t>
      </w:r>
      <w:r w:rsidRPr="007D4993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0" w:name="_Hlk98837601"/>
      <w:r w:rsidRPr="000C6082">
        <w:rPr>
          <w:b w:val="0"/>
        </w:rPr>
        <w:t>с 01.01.20</w:t>
      </w:r>
      <w:r>
        <w:rPr>
          <w:b w:val="0"/>
        </w:rPr>
        <w:t>21</w:t>
      </w:r>
      <w:r w:rsidRPr="000C6082">
        <w:rPr>
          <w:b w:val="0"/>
        </w:rPr>
        <w:t xml:space="preserve"> по </w:t>
      </w:r>
      <w:r>
        <w:rPr>
          <w:b w:val="0"/>
        </w:rPr>
        <w:t>29.03.2022</w:t>
      </w:r>
      <w:bookmarkEnd w:id="0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E20768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="00F55B00">
        <w:rPr>
          <w:color w:val="000000"/>
        </w:rPr>
        <w:t>Управлении образования администрации Ленинского городского округа Московской области</w:t>
      </w:r>
      <w:r w:rsidR="006C1096">
        <w:rPr>
          <w:color w:val="000000"/>
        </w:rPr>
        <w:t xml:space="preserve"> за период </w:t>
      </w:r>
      <w:r w:rsidR="000E550B" w:rsidRPr="000E550B">
        <w:t>с 01.01.2021 по 29.03.2022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933AC1">
      <w:pPr>
        <w:pStyle w:val="a3"/>
        <w:widowControl w:val="0"/>
        <w:spacing w:before="120"/>
        <w:ind w:firstLine="709"/>
        <w:jc w:val="both"/>
      </w:pPr>
      <w:bookmarkStart w:id="1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>
        <w:t>Управлением образования администрации Ленинского городского округа Московской области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933AC1" w:rsidRPr="001138FD" w:rsidRDefault="00933AC1" w:rsidP="00697B20">
      <w:pPr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t>1.</w:t>
      </w:r>
      <w:r w:rsidRPr="00E73D21">
        <w:rPr>
          <w:bCs/>
        </w:rPr>
        <w:t xml:space="preserve"> </w:t>
      </w:r>
      <w:r w:rsidRPr="001138FD">
        <w:rPr>
          <w:bCs/>
        </w:rPr>
        <w:t xml:space="preserve">Действия должностного лица </w:t>
      </w:r>
      <w:r>
        <w:rPr>
          <w:bCs/>
        </w:rPr>
        <w:t>Управления образования администрации Ленинского городского округа Московской области</w:t>
      </w:r>
      <w:r w:rsidRPr="001138FD">
        <w:rPr>
          <w:bCs/>
        </w:rPr>
        <w:t xml:space="preserve"> содержат признаки состава административных правонарушений, предусмотренных </w:t>
      </w:r>
      <w:r w:rsidRPr="001138FD">
        <w:rPr>
          <w:b/>
          <w:bCs/>
        </w:rPr>
        <w:t>частью 2 статьи 7.</w:t>
      </w:r>
      <w:r w:rsidRPr="00E73D21">
        <w:rPr>
          <w:b/>
          <w:bCs/>
        </w:rPr>
        <w:t>29</w:t>
      </w:r>
      <w:r w:rsidRPr="001138FD">
        <w:rPr>
          <w:b/>
          <w:bCs/>
        </w:rPr>
        <w:t xml:space="preserve"> Кодекса Российской Федерации об административных правонарушениях</w:t>
      </w:r>
      <w:r w:rsidRPr="001138FD">
        <w:rPr>
          <w:bCs/>
        </w:rPr>
        <w:t>, в следующих случаях:</w:t>
      </w:r>
    </w:p>
    <w:p w:rsidR="00933AC1" w:rsidRPr="00697B20" w:rsidRDefault="007F076D" w:rsidP="00697B20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before="6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B20">
        <w:rPr>
          <w:rFonts w:ascii="Times New Roman" w:hAnsi="Times New Roman" w:cs="Times New Roman"/>
          <w:sz w:val="24"/>
          <w:szCs w:val="24"/>
        </w:rPr>
        <w:t>в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нарушение статьи 8, части 1 статьи 24 Федерального закона № 44-ФЗ «О контрактной системе в сфере закупок товаров, работ, услуг для обеспечения государственных и муниципальных нужд» Управлением образования при заключении контрактов от </w:t>
      </w:r>
      <w:r w:rsidR="009D6FCA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</w:t>
      </w:r>
      <w:r w:rsidR="009D6FCA">
        <w:rPr>
          <w:rFonts w:ascii="Times New Roman" w:hAnsi="Times New Roman" w:cs="Times New Roman"/>
          <w:sz w:val="24"/>
          <w:szCs w:val="24"/>
        </w:rPr>
        <w:t xml:space="preserve"> 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, от </w:t>
      </w:r>
      <w:r w:rsidR="009D6FCA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 </w:t>
      </w:r>
      <w:r w:rsidR="009D6FCA">
        <w:rPr>
          <w:rFonts w:ascii="Times New Roman" w:hAnsi="Times New Roman" w:cs="Times New Roman"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на общую сумму 1 170 144,00 рублей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произведено дробление единой закупки путем закупки у </w:t>
      </w:r>
      <w:r w:rsidR="009D6FCA">
        <w:rPr>
          <w:rFonts w:ascii="Times New Roman" w:hAnsi="Times New Roman" w:cs="Times New Roman"/>
          <w:sz w:val="24"/>
          <w:szCs w:val="24"/>
        </w:rPr>
        <w:t>ХХХХХ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идентичных услуг по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организации горячего питания обучающихся в муниципальном бюджетном общеобразовательном учреждении «</w:t>
      </w:r>
      <w:proofErr w:type="spellStart"/>
      <w:r w:rsidR="00933AC1" w:rsidRPr="00697B20">
        <w:rPr>
          <w:rFonts w:ascii="Times New Roman" w:hAnsi="Times New Roman" w:cs="Times New Roman"/>
          <w:bCs/>
          <w:sz w:val="24"/>
          <w:szCs w:val="24"/>
        </w:rPr>
        <w:t>Мисайловская</w:t>
      </w:r>
      <w:proofErr w:type="spellEnd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1», тем самым нарушен принцип обеспечения конкуренции</w:t>
      </w:r>
      <w:r w:rsidR="006D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933AC1" w:rsidRPr="00697B20" w:rsidRDefault="00697B20" w:rsidP="00697B20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B20">
        <w:rPr>
          <w:rFonts w:ascii="Times New Roman" w:hAnsi="Times New Roman" w:cs="Times New Roman"/>
          <w:sz w:val="24"/>
          <w:szCs w:val="24"/>
        </w:rPr>
        <w:t>в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нарушение статьи 8, части 1 статьи 24 Федерального закона № 44-ФЗ «О контрактной системе в сфере закупок товаров, работ, услуг для обеспечения государственных и муниципальных нужд» Управлением образования при заключении контрактов от </w:t>
      </w:r>
      <w:r w:rsidR="005D7813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 </w:t>
      </w:r>
      <w:r w:rsidR="005D7813">
        <w:rPr>
          <w:rFonts w:ascii="Times New Roman" w:hAnsi="Times New Roman" w:cs="Times New Roman"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, от </w:t>
      </w:r>
      <w:r w:rsidR="005D7813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 </w:t>
      </w:r>
      <w:r w:rsidR="005D7813">
        <w:rPr>
          <w:rFonts w:ascii="Times New Roman" w:hAnsi="Times New Roman" w:cs="Times New Roman"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на общую сумму 1 199 910,00 рублей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произведено дробление единой закупки путем закупки у </w:t>
      </w:r>
      <w:r w:rsidR="005D7813">
        <w:rPr>
          <w:rFonts w:ascii="Times New Roman" w:hAnsi="Times New Roman" w:cs="Times New Roman"/>
          <w:sz w:val="24"/>
          <w:szCs w:val="24"/>
        </w:rPr>
        <w:t>ХХХХХ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идентичных услуг по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организации горячего питания обучающихся в муниципальном бюджетном общеобразовательном учреждении «</w:t>
      </w:r>
      <w:proofErr w:type="spellStart"/>
      <w:r w:rsidR="00933AC1" w:rsidRPr="00697B20">
        <w:rPr>
          <w:rFonts w:ascii="Times New Roman" w:hAnsi="Times New Roman" w:cs="Times New Roman"/>
          <w:bCs/>
          <w:sz w:val="24"/>
          <w:szCs w:val="24"/>
        </w:rPr>
        <w:t>Мисайловская</w:t>
      </w:r>
      <w:proofErr w:type="spellEnd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1», тем самым нарушен принцип обеспечения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lastRenderedPageBreak/>
        <w:t>конкуренции. В то время как, Заказчик имел возможность осуществить закупку данных услуг конкурентным способом при проведении закупки от 02.07.2021 №</w:t>
      </w:r>
      <w:r w:rsidR="0012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0848300048421000308 на оказание услуг по организации горячего питания обучающихся в муниципальном бюджетном общеобразовательном учреждении «</w:t>
      </w:r>
      <w:proofErr w:type="spellStart"/>
      <w:r w:rsidR="00933AC1" w:rsidRPr="00697B20">
        <w:rPr>
          <w:rFonts w:ascii="Times New Roman" w:hAnsi="Times New Roman" w:cs="Times New Roman"/>
          <w:bCs/>
          <w:sz w:val="24"/>
          <w:szCs w:val="24"/>
        </w:rPr>
        <w:t>Мисайловская</w:t>
      </w:r>
      <w:proofErr w:type="spellEnd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1» по результатам которой заключен контракт от </w:t>
      </w:r>
      <w:r w:rsidR="00122F80">
        <w:rPr>
          <w:rFonts w:ascii="Times New Roman" w:hAnsi="Times New Roman" w:cs="Times New Roman"/>
          <w:bCs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22F80">
        <w:rPr>
          <w:rFonts w:ascii="Times New Roman" w:hAnsi="Times New Roman" w:cs="Times New Roman"/>
          <w:bCs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122F80">
        <w:rPr>
          <w:rFonts w:ascii="Times New Roman" w:hAnsi="Times New Roman" w:cs="Times New Roman"/>
          <w:bCs/>
          <w:sz w:val="24"/>
          <w:szCs w:val="24"/>
        </w:rPr>
        <w:t>ХХХХХХ</w:t>
      </w:r>
      <w:bookmarkStart w:id="2" w:name="_GoBack"/>
      <w:bookmarkEnd w:id="2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на сумму 4 232 913,00 рублей со сроком оказания услуги с 01.09.2021 по 31.12.2021.</w:t>
      </w:r>
    </w:p>
    <w:p w:rsidR="00933AC1" w:rsidRPr="0003734A" w:rsidRDefault="00933AC1" w:rsidP="00697B20">
      <w:pPr>
        <w:shd w:val="clear" w:color="auto" w:fill="FFFFFF"/>
        <w:spacing w:before="120"/>
        <w:ind w:firstLine="709"/>
        <w:jc w:val="both"/>
        <w:rPr>
          <w:bCs/>
          <w:i/>
        </w:rPr>
      </w:pPr>
      <w:r>
        <w:rPr>
          <w:bCs/>
        </w:rPr>
        <w:t>2</w:t>
      </w:r>
      <w:r w:rsidRPr="0003734A">
        <w:rPr>
          <w:bCs/>
        </w:rPr>
        <w:t xml:space="preserve">. Действия должностного лица </w:t>
      </w:r>
      <w:r>
        <w:rPr>
          <w:bCs/>
        </w:rPr>
        <w:t>Управления образования администрации Ленинского городского округа Московской области</w:t>
      </w:r>
      <w:r w:rsidRPr="0003734A">
        <w:rPr>
          <w:bCs/>
        </w:rPr>
        <w:t xml:space="preserve"> содержат признаки состава административных правонарушений, предусмотренных</w:t>
      </w:r>
      <w:r w:rsidRPr="0003734A">
        <w:rPr>
          <w:b/>
          <w:bCs/>
        </w:rPr>
        <w:t xml:space="preserve"> частью </w:t>
      </w:r>
      <w:r>
        <w:rPr>
          <w:b/>
          <w:bCs/>
        </w:rPr>
        <w:t>1.4</w:t>
      </w:r>
      <w:r w:rsidRPr="0003734A">
        <w:rPr>
          <w:b/>
          <w:bCs/>
        </w:rPr>
        <w:t xml:space="preserve"> статьи 7.3</w:t>
      </w:r>
      <w:r>
        <w:rPr>
          <w:b/>
          <w:bCs/>
        </w:rPr>
        <w:t>0</w:t>
      </w:r>
      <w:r w:rsidRPr="0003734A">
        <w:rPr>
          <w:b/>
          <w:bCs/>
        </w:rPr>
        <w:t xml:space="preserve"> Кодекса Российской Федерации об административных правонарушениях</w:t>
      </w:r>
      <w:r w:rsidRPr="0003734A">
        <w:rPr>
          <w:bCs/>
        </w:rPr>
        <w:t>, в следующих случаях:</w:t>
      </w:r>
    </w:p>
    <w:p w:rsidR="00933AC1" w:rsidRPr="00687B72" w:rsidRDefault="00933AC1" w:rsidP="00933AC1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  <w:rPr>
          <w:color w:val="000000"/>
        </w:rPr>
      </w:pPr>
      <w:r w:rsidRPr="00687B72">
        <w:rPr>
          <w:color w:val="000000"/>
        </w:rPr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план-график закупок товаров, работ, услуг на 2021 финансовый год и на плановый период 2022-2023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2021 финансовом году и плановом периоде 2022-2023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33AC1" w:rsidRPr="00687B72" w:rsidRDefault="00933AC1" w:rsidP="00933A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687B72">
        <w:rPr>
          <w:color w:val="000000"/>
        </w:rPr>
        <w:t>в нарушение части 6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687B72">
        <w:rPr>
          <w:color w:val="000000"/>
          <w:shd w:val="clear" w:color="auto" w:fill="FFFFFF"/>
        </w:rPr>
        <w:t xml:space="preserve">, </w:t>
      </w:r>
      <w:r w:rsidRPr="00687B72">
        <w:t xml:space="preserve">объем финансового обеспечения для осуществления закупок товаров, работ, услуг, указанный в первоначальном </w:t>
      </w:r>
      <w:r w:rsidRPr="00687B72">
        <w:rPr>
          <w:color w:val="000000"/>
        </w:rPr>
        <w:t>плане-графике закупок товаров, работ, услуг на 2021 финансовый год и на плановый период 2022-2023 годов,</w:t>
      </w:r>
      <w:r w:rsidRPr="00687B72">
        <w:t xml:space="preserve">  не соответствует объему прав в денежном выражении на принятие и (или) исполнение обязательств </w:t>
      </w:r>
      <w:r w:rsidRPr="00687B72">
        <w:rPr>
          <w:color w:val="000000"/>
        </w:rPr>
        <w:t>на 2021 финансовый год и на плановый период 2022-2023 годов</w:t>
      </w:r>
      <w:r w:rsidRPr="00687B72">
        <w:t>, доведенному Управлению образования уведомлениями от 01.01.2021 № 922/1, 922/2, 922/4, 922/5, 922/6, 922/7, 922/8, 922/9, 922/10 о лимитах бюджетных обязательств (далее – ЛБО):</w:t>
      </w:r>
    </w:p>
    <w:p w:rsidR="00933AC1" w:rsidRPr="00687B72" w:rsidRDefault="00933AC1" w:rsidP="00933AC1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687B72">
        <w:rPr>
          <w:color w:val="000000"/>
        </w:rPr>
        <w:t xml:space="preserve">на 2021 год ЛБО – </w:t>
      </w:r>
      <w:r w:rsidRPr="00687B72">
        <w:rPr>
          <w:color w:val="000000"/>
          <w:shd w:val="clear" w:color="auto" w:fill="FFFFFF"/>
        </w:rPr>
        <w:t>222 972 720,00</w:t>
      </w:r>
      <w:r w:rsidRPr="00687B72">
        <w:rPr>
          <w:color w:val="000000"/>
        </w:rPr>
        <w:t xml:space="preserve"> рублей, в плане-графике – 172 100,00 рублей;</w:t>
      </w:r>
    </w:p>
    <w:p w:rsidR="00933AC1" w:rsidRPr="00687B72" w:rsidRDefault="00933AC1" w:rsidP="00933AC1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687B72">
        <w:rPr>
          <w:color w:val="000000"/>
        </w:rPr>
        <w:t xml:space="preserve">на 2022 год ЛБО – </w:t>
      </w:r>
      <w:r w:rsidRPr="00687B72">
        <w:rPr>
          <w:color w:val="000000"/>
          <w:shd w:val="clear" w:color="auto" w:fill="FFFFFF"/>
        </w:rPr>
        <w:t>260 762 030,00</w:t>
      </w:r>
      <w:r w:rsidRPr="00687B72">
        <w:rPr>
          <w:color w:val="000000"/>
        </w:rPr>
        <w:t xml:space="preserve"> рублей, в плане-графике – 0,00 рублей;</w:t>
      </w:r>
    </w:p>
    <w:p w:rsidR="00933AC1" w:rsidRPr="00687B72" w:rsidRDefault="00933AC1" w:rsidP="00933AC1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687B72">
        <w:rPr>
          <w:color w:val="000000"/>
        </w:rPr>
        <w:t xml:space="preserve">на 2023 год ЛБО – </w:t>
      </w:r>
      <w:r w:rsidRPr="00687B72">
        <w:rPr>
          <w:color w:val="000000"/>
          <w:shd w:val="clear" w:color="auto" w:fill="FFFFFF"/>
        </w:rPr>
        <w:t xml:space="preserve">234 796 620,00 </w:t>
      </w:r>
      <w:r w:rsidRPr="00687B72">
        <w:rPr>
          <w:color w:val="000000"/>
        </w:rPr>
        <w:t>рублей, в плане-графике – 0,00 рублей;</w:t>
      </w:r>
    </w:p>
    <w:p w:rsidR="00933AC1" w:rsidRPr="00687B72" w:rsidRDefault="00933AC1" w:rsidP="00933AC1">
      <w:pPr>
        <w:pStyle w:val="a3"/>
        <w:numPr>
          <w:ilvl w:val="0"/>
          <w:numId w:val="31"/>
        </w:numPr>
        <w:tabs>
          <w:tab w:val="left" w:pos="993"/>
        </w:tabs>
        <w:spacing w:before="60"/>
        <w:ind w:left="0" w:firstLine="709"/>
        <w:jc w:val="both"/>
      </w:pPr>
      <w:r w:rsidRPr="00687B72">
        <w:t xml:space="preserve"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</w:t>
      </w:r>
      <w:r w:rsidRPr="00687B72">
        <w:lastRenderedPageBreak/>
        <w:t>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33AC1" w:rsidRPr="00687B72" w:rsidRDefault="00933AC1" w:rsidP="00933AC1">
      <w:pPr>
        <w:pStyle w:val="a3"/>
        <w:numPr>
          <w:ilvl w:val="0"/>
          <w:numId w:val="31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6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прав в денежном выражении на принятие и (или) исполнение обязательств на 2022 финансовый год и на плановый период 2023-2024 годов, доведенному Управлению образования уведомлениями от 20.12.2021 № 922/1, 922/2, 922/3, 922/4, 922/5, 922/7 и от 27.12.2021 № 922/6, 922/8  о лимитах бюджетных обязательств:</w:t>
      </w:r>
    </w:p>
    <w:p w:rsidR="00933AC1" w:rsidRPr="00687B72" w:rsidRDefault="00933AC1" w:rsidP="00933AC1">
      <w:pPr>
        <w:pStyle w:val="a3"/>
        <w:ind w:left="709"/>
      </w:pPr>
      <w:r w:rsidRPr="00687B72">
        <w:t>на 2022 год ЛБО – 365 049 041,35 рублей, в плане-графике – 343 200,00 рублей;</w:t>
      </w:r>
    </w:p>
    <w:p w:rsidR="00933AC1" w:rsidRPr="00687B72" w:rsidRDefault="00933AC1" w:rsidP="00933AC1">
      <w:pPr>
        <w:pStyle w:val="a3"/>
        <w:ind w:left="709"/>
      </w:pPr>
      <w:r w:rsidRPr="00687B72">
        <w:t>на 2023 год ЛБО – 339 206 257,32 рублей, в плане-графике – 0,00 рублей;</w:t>
      </w:r>
    </w:p>
    <w:p w:rsidR="00933AC1" w:rsidRPr="00687B72" w:rsidRDefault="00933AC1" w:rsidP="00933AC1">
      <w:pPr>
        <w:pStyle w:val="a3"/>
        <w:ind w:left="709"/>
      </w:pPr>
      <w:r w:rsidRPr="00687B72">
        <w:t>на 2024 год ЛБО – 368 366 910,00 рублей, в плане-графике – 0,00 рублей.</w:t>
      </w:r>
    </w:p>
    <w:p w:rsidR="00933AC1" w:rsidRPr="0003734A" w:rsidRDefault="00933AC1" w:rsidP="00933AC1">
      <w:pPr>
        <w:shd w:val="clear" w:color="auto" w:fill="FFFFFF"/>
        <w:spacing w:before="120"/>
        <w:ind w:firstLine="709"/>
        <w:jc w:val="both"/>
        <w:rPr>
          <w:bCs/>
          <w:i/>
        </w:rPr>
      </w:pPr>
      <w:bookmarkStart w:id="3" w:name="_Hlk100824372"/>
      <w:r>
        <w:rPr>
          <w:bCs/>
        </w:rPr>
        <w:t>3</w:t>
      </w:r>
      <w:r w:rsidRPr="0003734A">
        <w:rPr>
          <w:bCs/>
        </w:rPr>
        <w:t xml:space="preserve">. Действия должностного лица </w:t>
      </w:r>
      <w:r>
        <w:rPr>
          <w:bCs/>
        </w:rPr>
        <w:t>Управления образования администрации Ленинского городского округа Московской области</w:t>
      </w:r>
      <w:r w:rsidRPr="0003734A">
        <w:rPr>
          <w:bCs/>
        </w:rPr>
        <w:t xml:space="preserve"> содержат признаки состава административных правонарушений, предусмотренных</w:t>
      </w:r>
      <w:r w:rsidRPr="0003734A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03734A">
        <w:rPr>
          <w:bCs/>
        </w:rPr>
        <w:t>, в следующих случаях:</w:t>
      </w:r>
    </w:p>
    <w:bookmarkEnd w:id="3"/>
    <w:p w:rsidR="00933AC1" w:rsidRPr="00687B72" w:rsidRDefault="00933AC1" w:rsidP="00CA6FB9">
      <w:pPr>
        <w:widowControl w:val="0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33AC1" w:rsidRPr="00687B72" w:rsidRDefault="00933AC1" w:rsidP="00933AC1">
      <w:pPr>
        <w:widowControl w:val="0"/>
        <w:spacing w:before="60"/>
        <w:ind w:left="851" w:hanging="142"/>
        <w:jc w:val="both"/>
      </w:pPr>
      <w:r w:rsidRPr="00687B72">
        <w:t>реестровый номер контракта 35003028885 21 000030 (платежное поручение №10473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000031 (платежное поручение №10468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000030 (платежное поручение №10473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000032 (платежное поручение №10489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000033 (платежное поручение №10501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000034 (платежное поручение №10470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lastRenderedPageBreak/>
        <w:t>реестровый номер контракта 35003028885 21 000035 (платежное поручение №10487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000036 (платежное поручение №10475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000037 (платежное поручение №10484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000038 (платежное поручение №10480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000039 (платежное поручение №10466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000040 (платежное поручение №10503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000041 (платежное поручение №10497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000042 (платежное поручение №10495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000043 (платежное поручение №10499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000044 (платежное поручение №10477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000045 (платежное поручение №10491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000046 (платежное поручение №10482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000047 (платежное поручение №10493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000024 (платежное поручение №10453 от 28.10.2021 (проведено 29.10.2021) – размещено 17.11.2021);</w:t>
      </w:r>
    </w:p>
    <w:p w:rsidR="00933AC1" w:rsidRPr="00687B72" w:rsidRDefault="00933AC1" w:rsidP="003C1F97">
      <w:pPr>
        <w:widowControl w:val="0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000016 (УПД № 94, 95, 96 от 23.06.2021 (подписаны 02.07.2021) – размещены 17.07.2021);</w:t>
      </w:r>
    </w:p>
    <w:p w:rsidR="00933AC1" w:rsidRPr="00687B72" w:rsidRDefault="00933AC1" w:rsidP="003C1F97">
      <w:pPr>
        <w:widowControl w:val="0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8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000018 (дополнительное соглашение № 1 от 12.08.2021 (подписано 12.08.2021) – размещено 02.09.2021);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000024 (дополнительное соглашение б/н от 03.08.2021 (подписано 03.08.2021) – размещено 12.08.2021).</w:t>
      </w:r>
    </w:p>
    <w:p w:rsidR="00933AC1" w:rsidRPr="00687B72" w:rsidRDefault="00933AC1" w:rsidP="00933A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 xml:space="preserve">4.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</w:t>
      </w:r>
      <w:r w:rsidRPr="00687B72">
        <w:rPr>
          <w:color w:val="000000"/>
        </w:rPr>
        <w:lastRenderedPageBreak/>
        <w:t xml:space="preserve">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</w:t>
      </w:r>
      <w:bookmarkStart w:id="4" w:name="_Hlk100824791"/>
      <w:r w:rsidRPr="00687B72">
        <w:rPr>
          <w:color w:val="000000"/>
        </w:rPr>
        <w:t>утвержденного Постановлением № 1279</w:t>
      </w:r>
      <w:bookmarkEnd w:id="4"/>
      <w:r w:rsidRPr="00687B72">
        <w:rPr>
          <w:color w:val="000000"/>
        </w:rPr>
        <w:t>, план-график закупок товаров, работ, услуг на 2021 финансовый год и на плановый период 2022-2023 годов утвержден и подписан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687B72" w:rsidRDefault="00933AC1" w:rsidP="00933A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>5.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изменения в план-график закупок товаров, работ, услуг на 2021 финансовый год и на плановый период 2022-2023 годов утверждались и подписывались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687B72" w:rsidRDefault="00933AC1" w:rsidP="00933A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>6.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утвержден и подписан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687B72" w:rsidRDefault="00933AC1" w:rsidP="003C1F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>7.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изменения в план-график закупок товаров, работ, услуг на 2022 финансовый год и на плановый период 2023-2024 годов утверждались и подписывались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47705B" w:rsidRDefault="00933AC1" w:rsidP="0047705B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B9">
        <w:rPr>
          <w:rFonts w:ascii="Times New Roman" w:hAnsi="Times New Roman" w:cs="Times New Roman"/>
          <w:sz w:val="24"/>
          <w:szCs w:val="24"/>
        </w:rPr>
        <w:t>Общее количество нарушений: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B96EB9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>
        <w:rPr>
          <w:rFonts w:ascii="Times New Roman" w:hAnsi="Times New Roman" w:cs="Times New Roman"/>
          <w:sz w:val="24"/>
          <w:szCs w:val="24"/>
        </w:rPr>
        <w:t>– 33</w:t>
      </w:r>
      <w:r w:rsidRPr="00B96EB9"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933AC1" w:rsidRPr="0047705B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0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5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4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26"/>
  </w:num>
  <w:num w:numId="6">
    <w:abstractNumId w:val="22"/>
  </w:num>
  <w:num w:numId="7">
    <w:abstractNumId w:val="28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21"/>
  </w:num>
  <w:num w:numId="13">
    <w:abstractNumId w:val="8"/>
  </w:num>
  <w:num w:numId="14">
    <w:abstractNumId w:val="23"/>
  </w:num>
  <w:num w:numId="15">
    <w:abstractNumId w:val="14"/>
  </w:num>
  <w:num w:numId="16">
    <w:abstractNumId w:val="27"/>
  </w:num>
  <w:num w:numId="17">
    <w:abstractNumId w:val="1"/>
  </w:num>
  <w:num w:numId="18">
    <w:abstractNumId w:val="29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31"/>
  </w:num>
  <w:num w:numId="24">
    <w:abstractNumId w:val="5"/>
  </w:num>
  <w:num w:numId="25">
    <w:abstractNumId w:val="19"/>
  </w:num>
  <w:num w:numId="26">
    <w:abstractNumId w:val="18"/>
  </w:num>
  <w:num w:numId="27">
    <w:abstractNumId w:val="4"/>
  </w:num>
  <w:num w:numId="28">
    <w:abstractNumId w:val="7"/>
  </w:num>
  <w:num w:numId="29">
    <w:abstractNumId w:val="0"/>
  </w:num>
  <w:num w:numId="30">
    <w:abstractNumId w:val="15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0578"/>
    <w:rsid w:val="000C3B57"/>
    <w:rsid w:val="000D6052"/>
    <w:rsid w:val="000D6C98"/>
    <w:rsid w:val="000E550B"/>
    <w:rsid w:val="000E791F"/>
    <w:rsid w:val="000F0CFE"/>
    <w:rsid w:val="000F25D6"/>
    <w:rsid w:val="001200EC"/>
    <w:rsid w:val="00122F80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941B9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10BA"/>
    <w:rsid w:val="00264AD9"/>
    <w:rsid w:val="00283334"/>
    <w:rsid w:val="002B01CD"/>
    <w:rsid w:val="002B41F2"/>
    <w:rsid w:val="002B6712"/>
    <w:rsid w:val="002C43AE"/>
    <w:rsid w:val="002C5F28"/>
    <w:rsid w:val="002D5B89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1F97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2E66"/>
    <w:rsid w:val="005955C2"/>
    <w:rsid w:val="005C7E5A"/>
    <w:rsid w:val="005D1791"/>
    <w:rsid w:val="005D7813"/>
    <w:rsid w:val="005F6A5B"/>
    <w:rsid w:val="005F7010"/>
    <w:rsid w:val="00602FDA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2319"/>
    <w:rsid w:val="006B4859"/>
    <w:rsid w:val="006B4F09"/>
    <w:rsid w:val="006C072D"/>
    <w:rsid w:val="006C1096"/>
    <w:rsid w:val="006C13B6"/>
    <w:rsid w:val="006C2EC4"/>
    <w:rsid w:val="006D43EB"/>
    <w:rsid w:val="006D57DF"/>
    <w:rsid w:val="006D781F"/>
    <w:rsid w:val="006E60B3"/>
    <w:rsid w:val="007008D8"/>
    <w:rsid w:val="00715905"/>
    <w:rsid w:val="007166B0"/>
    <w:rsid w:val="00717672"/>
    <w:rsid w:val="00764952"/>
    <w:rsid w:val="00771F77"/>
    <w:rsid w:val="00790063"/>
    <w:rsid w:val="00795211"/>
    <w:rsid w:val="007B3684"/>
    <w:rsid w:val="007B7F33"/>
    <w:rsid w:val="007C009D"/>
    <w:rsid w:val="007D0D45"/>
    <w:rsid w:val="007D4993"/>
    <w:rsid w:val="007E25F6"/>
    <w:rsid w:val="007F076D"/>
    <w:rsid w:val="007F0F24"/>
    <w:rsid w:val="007F2B2E"/>
    <w:rsid w:val="007F54FA"/>
    <w:rsid w:val="00802782"/>
    <w:rsid w:val="00880D1B"/>
    <w:rsid w:val="00897E30"/>
    <w:rsid w:val="008E66D8"/>
    <w:rsid w:val="008F19D6"/>
    <w:rsid w:val="009002E3"/>
    <w:rsid w:val="00905154"/>
    <w:rsid w:val="00933AC1"/>
    <w:rsid w:val="00937926"/>
    <w:rsid w:val="0094182F"/>
    <w:rsid w:val="00956BD0"/>
    <w:rsid w:val="00960843"/>
    <w:rsid w:val="00964E6E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D6FCA"/>
    <w:rsid w:val="00A13DDF"/>
    <w:rsid w:val="00A33461"/>
    <w:rsid w:val="00A41E8C"/>
    <w:rsid w:val="00A4327D"/>
    <w:rsid w:val="00A43A82"/>
    <w:rsid w:val="00A53A8B"/>
    <w:rsid w:val="00A81764"/>
    <w:rsid w:val="00A8371B"/>
    <w:rsid w:val="00A927B2"/>
    <w:rsid w:val="00AC4406"/>
    <w:rsid w:val="00AD6B27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242A0"/>
    <w:rsid w:val="00C323D7"/>
    <w:rsid w:val="00C61919"/>
    <w:rsid w:val="00C81050"/>
    <w:rsid w:val="00C835AF"/>
    <w:rsid w:val="00CA6FB9"/>
    <w:rsid w:val="00CD201E"/>
    <w:rsid w:val="00CE0E74"/>
    <w:rsid w:val="00CF4BBD"/>
    <w:rsid w:val="00D21685"/>
    <w:rsid w:val="00D30FBE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12C43"/>
    <w:rsid w:val="00E20768"/>
    <w:rsid w:val="00E305BA"/>
    <w:rsid w:val="00E40C4B"/>
    <w:rsid w:val="00E437F4"/>
    <w:rsid w:val="00E5490D"/>
    <w:rsid w:val="00E77F57"/>
    <w:rsid w:val="00E8672E"/>
    <w:rsid w:val="00EA4DCE"/>
    <w:rsid w:val="00EB5FF7"/>
    <w:rsid w:val="00EE092D"/>
    <w:rsid w:val="00EE0B20"/>
    <w:rsid w:val="00EF628E"/>
    <w:rsid w:val="00F1185A"/>
    <w:rsid w:val="00F30814"/>
    <w:rsid w:val="00F44D35"/>
    <w:rsid w:val="00F55B00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44E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3190-5A6E-4490-B2C6-9EE25D4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2</cp:revision>
  <cp:lastPrinted>2022-03-01T08:45:00Z</cp:lastPrinted>
  <dcterms:created xsi:type="dcterms:W3CDTF">2022-04-15T09:32:00Z</dcterms:created>
  <dcterms:modified xsi:type="dcterms:W3CDTF">2022-04-15T09:32:00Z</dcterms:modified>
</cp:coreProperties>
</file>